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EA" w:rsidRPr="00441C74" w:rsidRDefault="007621EA" w:rsidP="00211826">
      <w:pPr>
        <w:pStyle w:val="Default"/>
        <w:spacing w:before="120"/>
        <w:rPr>
          <w:b/>
          <w:color w:val="000000" w:themeColor="text1"/>
          <w:sz w:val="32"/>
          <w:szCs w:val="32"/>
        </w:rPr>
      </w:pPr>
      <w:r w:rsidRPr="00441C74">
        <w:rPr>
          <w:b/>
          <w:color w:val="000000" w:themeColor="text1"/>
          <w:sz w:val="32"/>
          <w:szCs w:val="32"/>
        </w:rPr>
        <w:t>Policy</w:t>
      </w:r>
    </w:p>
    <w:p w:rsidR="007C5750" w:rsidRPr="00441C74" w:rsidRDefault="007C5750" w:rsidP="00211826">
      <w:pPr>
        <w:pStyle w:val="Default"/>
        <w:spacing w:before="120"/>
        <w:rPr>
          <w:color w:val="000000" w:themeColor="text1"/>
        </w:rPr>
      </w:pPr>
      <w:r w:rsidRPr="00441C74">
        <w:rPr>
          <w:color w:val="000000" w:themeColor="text1"/>
        </w:rPr>
        <w:t xml:space="preserve">The </w:t>
      </w:r>
      <w:r w:rsidR="00F52BC4" w:rsidRPr="00441C74">
        <w:rPr>
          <w:color w:val="000000" w:themeColor="text1"/>
        </w:rPr>
        <w:t xml:space="preserve">Delinquent/Lost/Damaged Materials Policy ensures that the </w:t>
      </w:r>
      <w:r w:rsidRPr="00441C74">
        <w:rPr>
          <w:color w:val="000000" w:themeColor="text1"/>
        </w:rPr>
        <w:t>Metropolitan Library System</w:t>
      </w:r>
      <w:r w:rsidR="00F52BC4" w:rsidRPr="00441C74">
        <w:rPr>
          <w:color w:val="000000" w:themeColor="text1"/>
        </w:rPr>
        <w:t xml:space="preserve"> </w:t>
      </w:r>
      <w:r w:rsidR="00AB014A" w:rsidRPr="00441C74">
        <w:rPr>
          <w:color w:val="000000" w:themeColor="text1"/>
        </w:rPr>
        <w:t xml:space="preserve">encourages borrowers to return materials promptly and helps cover the cost of replacing lost or damaged materials </w:t>
      </w:r>
      <w:r w:rsidR="00F52BC4" w:rsidRPr="00441C74">
        <w:rPr>
          <w:color w:val="000000" w:themeColor="text1"/>
        </w:rPr>
        <w:t xml:space="preserve">by </w:t>
      </w:r>
      <w:r w:rsidRPr="00441C74">
        <w:rPr>
          <w:color w:val="000000" w:themeColor="text1"/>
        </w:rPr>
        <w:t>charg</w:t>
      </w:r>
      <w:r w:rsidR="00F52BC4" w:rsidRPr="00441C74">
        <w:rPr>
          <w:color w:val="000000" w:themeColor="text1"/>
        </w:rPr>
        <w:t>ing</w:t>
      </w:r>
      <w:r w:rsidRPr="00441C74">
        <w:rPr>
          <w:color w:val="000000" w:themeColor="text1"/>
        </w:rPr>
        <w:t xml:space="preserve"> fees</w:t>
      </w:r>
      <w:r w:rsidR="00AB014A" w:rsidRPr="00441C74">
        <w:rPr>
          <w:color w:val="000000" w:themeColor="text1"/>
        </w:rPr>
        <w:t>.</w:t>
      </w:r>
      <w:r w:rsidR="00FE5AD4" w:rsidRPr="00441C74">
        <w:rPr>
          <w:color w:val="000000" w:themeColor="text1"/>
        </w:rPr>
        <w:t xml:space="preserve"> </w:t>
      </w:r>
    </w:p>
    <w:p w:rsidR="007621EA" w:rsidRPr="00441C74" w:rsidRDefault="007621EA" w:rsidP="00211826">
      <w:pPr>
        <w:pStyle w:val="PlainText"/>
        <w:spacing w:before="120"/>
        <w:ind w:left="360" w:hanging="360"/>
        <w:rPr>
          <w:rFonts w:cs="Arial"/>
          <w:b/>
          <w:color w:val="000000" w:themeColor="text1"/>
          <w:sz w:val="32"/>
          <w:szCs w:val="32"/>
        </w:rPr>
      </w:pPr>
      <w:r w:rsidRPr="00441C74">
        <w:rPr>
          <w:rFonts w:cs="Arial"/>
          <w:b/>
          <w:color w:val="000000" w:themeColor="text1"/>
          <w:sz w:val="32"/>
          <w:szCs w:val="32"/>
        </w:rPr>
        <w:t>Regulations</w:t>
      </w:r>
    </w:p>
    <w:p w:rsidR="00B87428" w:rsidRPr="00441C74" w:rsidRDefault="00B87428" w:rsidP="00211826">
      <w:pPr>
        <w:pStyle w:val="PlainText"/>
        <w:numPr>
          <w:ilvl w:val="0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 xml:space="preserve">Delinquent Borrowers </w:t>
      </w:r>
    </w:p>
    <w:p w:rsidR="004059C5" w:rsidRPr="00441C74" w:rsidRDefault="009D488F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 xml:space="preserve">Borrowers will be charged $0.10 per day to a maximum of $3.00 for overdue materials. </w:t>
      </w:r>
    </w:p>
    <w:p w:rsidR="00534B72" w:rsidRPr="00441C74" w:rsidRDefault="009D488F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Borrowers will be charged $5.00 per hour to a maximum of $60.00</w:t>
      </w:r>
      <w:r w:rsidR="004059C5" w:rsidRPr="00441C74">
        <w:rPr>
          <w:rFonts w:cs="Arial"/>
          <w:color w:val="000000" w:themeColor="text1"/>
        </w:rPr>
        <w:t xml:space="preserve"> for electronic devices. </w:t>
      </w:r>
    </w:p>
    <w:p w:rsidR="00B87428" w:rsidRPr="00441C74" w:rsidRDefault="00B87428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Those who</w:t>
      </w:r>
      <w:r w:rsidR="00E119A9" w:rsidRPr="00441C74">
        <w:rPr>
          <w:rFonts w:cs="Arial"/>
          <w:color w:val="000000" w:themeColor="text1"/>
        </w:rPr>
        <w:t xml:space="preserve"> </w:t>
      </w:r>
      <w:r w:rsidRPr="00441C74">
        <w:rPr>
          <w:rFonts w:cs="Arial"/>
          <w:color w:val="000000" w:themeColor="text1"/>
        </w:rPr>
        <w:t xml:space="preserve">fail to pay the </w:t>
      </w:r>
      <w:r w:rsidR="00821B08" w:rsidRPr="00441C74">
        <w:rPr>
          <w:rFonts w:cs="Arial"/>
          <w:color w:val="000000" w:themeColor="text1"/>
        </w:rPr>
        <w:t xml:space="preserve">fee </w:t>
      </w:r>
      <w:r w:rsidRPr="00441C74">
        <w:rPr>
          <w:rFonts w:cs="Arial"/>
          <w:color w:val="000000" w:themeColor="text1"/>
        </w:rPr>
        <w:t>of lost</w:t>
      </w:r>
      <w:r w:rsidR="00406361" w:rsidRPr="00441C74">
        <w:rPr>
          <w:rFonts w:cs="Arial"/>
          <w:color w:val="000000" w:themeColor="text1"/>
        </w:rPr>
        <w:t>/</w:t>
      </w:r>
      <w:r w:rsidRPr="00441C74">
        <w:rPr>
          <w:rFonts w:cs="Arial"/>
          <w:color w:val="000000" w:themeColor="text1"/>
        </w:rPr>
        <w:t>damaged item</w:t>
      </w:r>
      <w:r w:rsidR="00887F15" w:rsidRPr="00441C74">
        <w:rPr>
          <w:rFonts w:cs="Arial"/>
          <w:color w:val="000000" w:themeColor="text1"/>
        </w:rPr>
        <w:t>(s)</w:t>
      </w:r>
      <w:r w:rsidR="00A93822" w:rsidRPr="00441C74">
        <w:rPr>
          <w:rFonts w:cs="Arial"/>
          <w:color w:val="000000" w:themeColor="text1"/>
        </w:rPr>
        <w:t xml:space="preserve"> </w:t>
      </w:r>
      <w:r w:rsidR="0088262F" w:rsidRPr="00441C74">
        <w:rPr>
          <w:rFonts w:cs="Arial"/>
          <w:color w:val="000000" w:themeColor="text1"/>
        </w:rPr>
        <w:t>as defined below,</w:t>
      </w:r>
      <w:r w:rsidRPr="00441C74">
        <w:rPr>
          <w:rFonts w:cs="Arial"/>
          <w:color w:val="000000" w:themeColor="text1"/>
        </w:rPr>
        <w:t xml:space="preserve"> </w:t>
      </w:r>
      <w:r w:rsidR="00887F15" w:rsidRPr="00441C74">
        <w:rPr>
          <w:rFonts w:cs="Arial"/>
          <w:color w:val="000000" w:themeColor="text1"/>
        </w:rPr>
        <w:t>or fines that total</w:t>
      </w:r>
      <w:r w:rsidR="00821B08" w:rsidRPr="00441C74">
        <w:rPr>
          <w:rFonts w:cs="Arial"/>
          <w:color w:val="000000" w:themeColor="text1"/>
        </w:rPr>
        <w:t xml:space="preserve"> $25.00 or more </w:t>
      </w:r>
      <w:r w:rsidRPr="00441C74">
        <w:rPr>
          <w:rFonts w:cs="Arial"/>
          <w:color w:val="000000" w:themeColor="text1"/>
        </w:rPr>
        <w:t xml:space="preserve">will lose borrowing privileges. A </w:t>
      </w:r>
      <w:r w:rsidR="00E119A9" w:rsidRPr="00441C74">
        <w:rPr>
          <w:rFonts w:cs="Arial"/>
          <w:color w:val="000000" w:themeColor="text1"/>
        </w:rPr>
        <w:t>block</w:t>
      </w:r>
      <w:r w:rsidRPr="00441C74">
        <w:rPr>
          <w:rFonts w:cs="Arial"/>
          <w:color w:val="000000" w:themeColor="text1"/>
        </w:rPr>
        <w:t xml:space="preserve"> will be placed on the delinquent borrower’s library card </w:t>
      </w:r>
      <w:r w:rsidR="00E119A9" w:rsidRPr="00441C74">
        <w:rPr>
          <w:rFonts w:cs="Arial"/>
          <w:color w:val="000000" w:themeColor="text1"/>
        </w:rPr>
        <w:t xml:space="preserve">account </w:t>
      </w:r>
      <w:r w:rsidRPr="00441C74">
        <w:rPr>
          <w:rFonts w:cs="Arial"/>
          <w:color w:val="000000" w:themeColor="text1"/>
        </w:rPr>
        <w:t xml:space="preserve">and a new library card </w:t>
      </w:r>
      <w:r w:rsidR="00E119A9" w:rsidRPr="00441C74">
        <w:rPr>
          <w:rFonts w:cs="Arial"/>
          <w:color w:val="000000" w:themeColor="text1"/>
        </w:rPr>
        <w:t xml:space="preserve">account </w:t>
      </w:r>
      <w:r w:rsidR="00665DF2" w:rsidRPr="00441C74">
        <w:rPr>
          <w:rFonts w:cs="Arial"/>
          <w:color w:val="000000" w:themeColor="text1"/>
        </w:rPr>
        <w:t xml:space="preserve">will </w:t>
      </w:r>
      <w:r w:rsidRPr="00441C74">
        <w:rPr>
          <w:rFonts w:cs="Arial"/>
          <w:color w:val="000000" w:themeColor="text1"/>
        </w:rPr>
        <w:t xml:space="preserve">not be issued to that person. </w:t>
      </w:r>
    </w:p>
    <w:p w:rsidR="00821B08" w:rsidRPr="00441C74" w:rsidRDefault="00821B08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An account will be blocked from borrowing on the 3</w:t>
      </w:r>
      <w:r w:rsidR="00335821" w:rsidRPr="00441C74">
        <w:rPr>
          <w:rFonts w:cs="Arial"/>
          <w:color w:val="000000" w:themeColor="text1"/>
          <w:vertAlign w:val="superscript"/>
        </w:rPr>
        <w:t>rd</w:t>
      </w:r>
      <w:r w:rsidRPr="00441C74">
        <w:rPr>
          <w:rFonts w:cs="Arial"/>
          <w:color w:val="000000" w:themeColor="text1"/>
        </w:rPr>
        <w:t xml:space="preserve"> occurrence in a 12 month period of claiming s/he did not borrow materials on account.</w:t>
      </w:r>
    </w:p>
    <w:p w:rsidR="00B87428" w:rsidRPr="00441C74" w:rsidRDefault="00B87428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 xml:space="preserve">After reasonable notification, </w:t>
      </w:r>
      <w:r w:rsidR="00386E44" w:rsidRPr="00441C74">
        <w:rPr>
          <w:rFonts w:cs="Arial"/>
          <w:color w:val="000000" w:themeColor="text1"/>
        </w:rPr>
        <w:t>the library system</w:t>
      </w:r>
      <w:r w:rsidRPr="00441C74">
        <w:rPr>
          <w:rFonts w:cs="Arial"/>
          <w:color w:val="000000" w:themeColor="text1"/>
        </w:rPr>
        <w:t xml:space="preserve"> may also take legal steps to collect fines and retrieve materials not returned and to file felony or misdemeanor complaints. </w:t>
      </w:r>
    </w:p>
    <w:p w:rsidR="00B87428" w:rsidRPr="00441C74" w:rsidRDefault="00B87428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 xml:space="preserve">The </w:t>
      </w:r>
      <w:r w:rsidR="00E119A9" w:rsidRPr="00441C74">
        <w:rPr>
          <w:rFonts w:cs="Arial"/>
          <w:color w:val="000000" w:themeColor="text1"/>
        </w:rPr>
        <w:t>block</w:t>
      </w:r>
      <w:r w:rsidRPr="00441C74">
        <w:rPr>
          <w:rFonts w:cs="Arial"/>
          <w:color w:val="000000" w:themeColor="text1"/>
        </w:rPr>
        <w:t xml:space="preserve"> will be removed or a new </w:t>
      </w:r>
      <w:r w:rsidR="00821B08" w:rsidRPr="00441C74">
        <w:rPr>
          <w:rFonts w:cs="Arial"/>
          <w:color w:val="000000" w:themeColor="text1"/>
        </w:rPr>
        <w:t xml:space="preserve">library </w:t>
      </w:r>
      <w:r w:rsidRPr="00441C74">
        <w:rPr>
          <w:rFonts w:cs="Arial"/>
          <w:color w:val="000000" w:themeColor="text1"/>
        </w:rPr>
        <w:t xml:space="preserve">card </w:t>
      </w:r>
      <w:r w:rsidR="00E119A9" w:rsidRPr="00441C74">
        <w:rPr>
          <w:rFonts w:cs="Arial"/>
          <w:color w:val="000000" w:themeColor="text1"/>
        </w:rPr>
        <w:t xml:space="preserve">account </w:t>
      </w:r>
      <w:r w:rsidRPr="00441C74">
        <w:rPr>
          <w:rFonts w:cs="Arial"/>
          <w:color w:val="000000" w:themeColor="text1"/>
        </w:rPr>
        <w:t>issued when the delinquent borrower pays the fines and</w:t>
      </w:r>
      <w:r w:rsidR="00665DF2" w:rsidRPr="00441C74">
        <w:rPr>
          <w:rFonts w:cs="Arial"/>
          <w:color w:val="000000" w:themeColor="text1"/>
        </w:rPr>
        <w:t>/or</w:t>
      </w:r>
      <w:r w:rsidRPr="00441C74">
        <w:rPr>
          <w:rFonts w:cs="Arial"/>
          <w:color w:val="000000" w:themeColor="text1"/>
        </w:rPr>
        <w:t xml:space="preserve"> costs of materials plus penalties resulting from the delinquency. </w:t>
      </w:r>
    </w:p>
    <w:p w:rsidR="00B87428" w:rsidRPr="00441C74" w:rsidRDefault="00B87428" w:rsidP="00211826">
      <w:pPr>
        <w:pStyle w:val="PlainText"/>
        <w:numPr>
          <w:ilvl w:val="0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 xml:space="preserve">Lost </w:t>
      </w:r>
      <w:r w:rsidR="0088262F" w:rsidRPr="00441C74">
        <w:rPr>
          <w:rFonts w:cs="Arial"/>
          <w:color w:val="000000" w:themeColor="text1"/>
        </w:rPr>
        <w:t xml:space="preserve">or Damaged </w:t>
      </w:r>
      <w:r w:rsidRPr="00441C74">
        <w:rPr>
          <w:rFonts w:cs="Arial"/>
          <w:color w:val="000000" w:themeColor="text1"/>
        </w:rPr>
        <w:t xml:space="preserve">Materials </w:t>
      </w:r>
    </w:p>
    <w:p w:rsidR="00B87428" w:rsidRPr="00441C74" w:rsidRDefault="009E4817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Once an item is 60 days overdue, the item is considered lost.</w:t>
      </w:r>
      <w:r w:rsidR="00A93822" w:rsidRPr="00441C74">
        <w:rPr>
          <w:rFonts w:cs="Arial"/>
          <w:color w:val="000000" w:themeColor="text1"/>
        </w:rPr>
        <w:t xml:space="preserve">  </w:t>
      </w:r>
      <w:r w:rsidR="00B87428" w:rsidRPr="00441C74">
        <w:rPr>
          <w:rFonts w:cs="Arial"/>
          <w:color w:val="000000" w:themeColor="text1"/>
        </w:rPr>
        <w:t xml:space="preserve">The borrower who loses or does not return an item must pay the cost of replacing it as determined by the library system. </w:t>
      </w:r>
    </w:p>
    <w:p w:rsidR="0088262F" w:rsidRPr="00441C74" w:rsidRDefault="0088262F" w:rsidP="0088262F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The borrower who damages an item must pay the cost of replacing or rebinding it as determined by the library system.</w:t>
      </w:r>
    </w:p>
    <w:p w:rsidR="004059C5" w:rsidRPr="00441C74" w:rsidRDefault="00B87428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If the borrower finds and returns a lost item within six months, the library system will refund the replacement cost, minus any fines. No refunds will be made after six months.</w:t>
      </w:r>
    </w:p>
    <w:p w:rsidR="004059C5" w:rsidRPr="00441C74" w:rsidRDefault="004059C5" w:rsidP="00211826">
      <w:pPr>
        <w:pStyle w:val="PlainText"/>
        <w:numPr>
          <w:ilvl w:val="1"/>
          <w:numId w:val="1"/>
        </w:numPr>
        <w:spacing w:before="120"/>
        <w:rPr>
          <w:rFonts w:cs="Arial"/>
          <w:color w:val="000000" w:themeColor="text1"/>
        </w:rPr>
      </w:pPr>
      <w:r w:rsidRPr="00441C74">
        <w:rPr>
          <w:rFonts w:cs="Arial"/>
          <w:color w:val="000000" w:themeColor="text1"/>
        </w:rPr>
        <w:t>The following fees will be charged for lost or damaged materials:</w:t>
      </w:r>
    </w:p>
    <w:p w:rsidR="004059C5" w:rsidRPr="00441C74" w:rsidRDefault="004059C5" w:rsidP="00441C74">
      <w:pPr>
        <w:pStyle w:val="ListBullet"/>
        <w:numPr>
          <w:ilvl w:val="0"/>
          <w:numId w:val="3"/>
        </w:numPr>
        <w:spacing w:after="120"/>
        <w:contextualSpacing/>
        <w:rPr>
          <w:rFonts w:ascii="Arial" w:hAnsi="Arial" w:cs="Arial"/>
          <w:color w:val="000000" w:themeColor="text1"/>
        </w:rPr>
      </w:pPr>
      <w:r w:rsidRPr="00441C74">
        <w:rPr>
          <w:rFonts w:ascii="Arial" w:hAnsi="Arial" w:cs="Arial"/>
          <w:color w:val="000000" w:themeColor="text1"/>
        </w:rPr>
        <w:t>book or magazine, electronic devices - list price at time of purchase</w:t>
      </w:r>
    </w:p>
    <w:p w:rsidR="004059C5" w:rsidRPr="00441C74" w:rsidRDefault="004059C5" w:rsidP="00441C74">
      <w:pPr>
        <w:pStyle w:val="ListBullet"/>
        <w:numPr>
          <w:ilvl w:val="0"/>
          <w:numId w:val="3"/>
        </w:numPr>
        <w:spacing w:after="120"/>
        <w:contextualSpacing/>
        <w:rPr>
          <w:rFonts w:ascii="Arial" w:hAnsi="Arial" w:cs="Arial"/>
          <w:color w:val="000000" w:themeColor="text1"/>
        </w:rPr>
      </w:pPr>
      <w:r w:rsidRPr="00441C74">
        <w:rPr>
          <w:rFonts w:ascii="Arial" w:hAnsi="Arial" w:cs="Arial"/>
          <w:color w:val="000000" w:themeColor="text1"/>
        </w:rPr>
        <w:lastRenderedPageBreak/>
        <w:t>audiovisual materials - replacement cost if lost or damaged due to carelessness or neglect</w:t>
      </w:r>
    </w:p>
    <w:p w:rsidR="004059C5" w:rsidRPr="00441C74" w:rsidRDefault="004059C5" w:rsidP="00441C74">
      <w:pPr>
        <w:pStyle w:val="ListBullet"/>
        <w:numPr>
          <w:ilvl w:val="0"/>
          <w:numId w:val="3"/>
        </w:numPr>
        <w:spacing w:after="120"/>
        <w:contextualSpacing/>
        <w:rPr>
          <w:rFonts w:ascii="Arial" w:hAnsi="Arial" w:cs="Arial"/>
          <w:color w:val="000000" w:themeColor="text1"/>
        </w:rPr>
      </w:pPr>
      <w:r w:rsidRPr="00441C74">
        <w:rPr>
          <w:rFonts w:ascii="Arial" w:hAnsi="Arial" w:cs="Arial"/>
          <w:color w:val="000000" w:themeColor="text1"/>
        </w:rPr>
        <w:t>audiovisual materials, one part of a set - $7.00 per part if lost or damaged due to carelessness or neglect</w:t>
      </w:r>
    </w:p>
    <w:p w:rsidR="004059C5" w:rsidRPr="00441C74" w:rsidRDefault="004059C5" w:rsidP="00441C74">
      <w:pPr>
        <w:pStyle w:val="ListBullet"/>
        <w:numPr>
          <w:ilvl w:val="0"/>
          <w:numId w:val="3"/>
        </w:numPr>
        <w:spacing w:after="120"/>
        <w:contextualSpacing/>
        <w:rPr>
          <w:rFonts w:ascii="Arial" w:hAnsi="Arial" w:cs="Arial"/>
          <w:color w:val="000000" w:themeColor="text1"/>
        </w:rPr>
      </w:pPr>
      <w:r w:rsidRPr="00441C74">
        <w:rPr>
          <w:rFonts w:ascii="Arial" w:hAnsi="Arial" w:cs="Arial"/>
          <w:color w:val="000000" w:themeColor="text1"/>
        </w:rPr>
        <w:t xml:space="preserve">audiovisual materials, liner notes or guide – no charge </w:t>
      </w:r>
    </w:p>
    <w:p w:rsidR="00B87428" w:rsidRPr="00211826" w:rsidRDefault="00B87428" w:rsidP="00441C74">
      <w:pPr>
        <w:pStyle w:val="PlainText"/>
        <w:spacing w:before="120"/>
        <w:rPr>
          <w:rFonts w:cs="Arial"/>
          <w:color w:val="000000"/>
        </w:rPr>
      </w:pPr>
    </w:p>
    <w:sectPr w:rsidR="00B87428" w:rsidRPr="00211826" w:rsidSect="00F52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CE" w:rsidRDefault="004E23CE">
      <w:r>
        <w:separator/>
      </w:r>
    </w:p>
  </w:endnote>
  <w:endnote w:type="continuationSeparator" w:id="0">
    <w:p w:rsidR="004E23CE" w:rsidRDefault="004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74" w:rsidRDefault="0044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74" w:rsidRDefault="00441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74" w:rsidRDefault="0044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CE" w:rsidRDefault="004E23CE">
      <w:r>
        <w:separator/>
      </w:r>
    </w:p>
  </w:footnote>
  <w:footnote w:type="continuationSeparator" w:id="0">
    <w:p w:rsidR="004E23CE" w:rsidRDefault="004E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74" w:rsidRDefault="0044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61" w:rsidRPr="00A159A4" w:rsidRDefault="00406361" w:rsidP="00DB5EE4">
    <w:pPr>
      <w:pStyle w:val="Default"/>
      <w:jc w:val="center"/>
      <w:rPr>
        <w:bCs/>
        <w:sz w:val="40"/>
        <w:szCs w:val="40"/>
      </w:rPr>
    </w:pPr>
    <w:r w:rsidRPr="00A159A4">
      <w:rPr>
        <w:bCs/>
        <w:sz w:val="40"/>
        <w:szCs w:val="40"/>
      </w:rPr>
      <w:t>AM 100 Borrowing</w:t>
    </w:r>
  </w:p>
  <w:p w:rsidR="00406361" w:rsidRPr="00A159A4" w:rsidRDefault="00406361" w:rsidP="00DB5EE4">
    <w:pPr>
      <w:pStyle w:val="Default"/>
      <w:jc w:val="center"/>
      <w:rPr>
        <w:bCs/>
        <w:sz w:val="32"/>
        <w:szCs w:val="32"/>
      </w:rPr>
    </w:pPr>
    <w:r w:rsidRPr="00A159A4">
      <w:rPr>
        <w:bCs/>
        <w:sz w:val="32"/>
        <w:szCs w:val="32"/>
      </w:rPr>
      <w:t>AM 110 Delinquent/Lost/Damaged Materials</w:t>
    </w:r>
  </w:p>
  <w:p w:rsidR="00406361" w:rsidRPr="00A159A4" w:rsidRDefault="00406361" w:rsidP="00E56ECA">
    <w:pPr>
      <w:pStyle w:val="Default"/>
      <w:jc w:val="center"/>
      <w:rPr>
        <w:rFonts w:ascii="Arial Black" w:hAnsi="Arial Black"/>
        <w:i/>
      </w:rPr>
    </w:pPr>
    <w:r w:rsidRPr="00A159A4">
      <w:rPr>
        <w:rFonts w:ascii="Arial Black" w:hAnsi="Arial Black"/>
        <w:bCs/>
        <w:i/>
        <w:iCs/>
      </w:rPr>
      <w:t>Adopted: 7/85; Revised: 9/86, 1/88, 4/92, 9/92, 1/93, 10/94, 7/99, 12/99, 8/00; 6/08, 8/14</w:t>
    </w:r>
    <w:r w:rsidR="00E56ECA">
      <w:rPr>
        <w:rFonts w:ascii="Arial Black" w:hAnsi="Arial Black"/>
        <w:bCs/>
        <w:i/>
        <w:iCs/>
      </w:rPr>
      <w:t>; 9/16</w:t>
    </w:r>
    <w:bookmarkStart w:id="0" w:name="_GoBack"/>
    <w:bookmarkEnd w:id="0"/>
  </w:p>
  <w:p w:rsidR="00406361" w:rsidRDefault="00406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74" w:rsidRDefault="0044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04EB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93F"/>
    <w:multiLevelType w:val="hybridMultilevel"/>
    <w:tmpl w:val="719E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A4E"/>
    <w:multiLevelType w:val="hybridMultilevel"/>
    <w:tmpl w:val="8B86F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AF4AA7"/>
    <w:multiLevelType w:val="hybridMultilevel"/>
    <w:tmpl w:val="181EB67C"/>
    <w:lvl w:ilvl="0" w:tplc="B686BDE6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8"/>
    <w:rsid w:val="000A530E"/>
    <w:rsid w:val="00185258"/>
    <w:rsid w:val="00194FA8"/>
    <w:rsid w:val="00211826"/>
    <w:rsid w:val="00244A45"/>
    <w:rsid w:val="002B2466"/>
    <w:rsid w:val="003346F7"/>
    <w:rsid w:val="00335821"/>
    <w:rsid w:val="00360E9E"/>
    <w:rsid w:val="003627A8"/>
    <w:rsid w:val="00386E44"/>
    <w:rsid w:val="004059C5"/>
    <w:rsid w:val="00406361"/>
    <w:rsid w:val="00441C74"/>
    <w:rsid w:val="00443C26"/>
    <w:rsid w:val="00454F64"/>
    <w:rsid w:val="0047430E"/>
    <w:rsid w:val="00493B84"/>
    <w:rsid w:val="004E23CE"/>
    <w:rsid w:val="00523418"/>
    <w:rsid w:val="00534B72"/>
    <w:rsid w:val="005C14B5"/>
    <w:rsid w:val="006024C6"/>
    <w:rsid w:val="0061028D"/>
    <w:rsid w:val="00615BBD"/>
    <w:rsid w:val="00640CFA"/>
    <w:rsid w:val="00665DF2"/>
    <w:rsid w:val="00671B0C"/>
    <w:rsid w:val="006F5F1D"/>
    <w:rsid w:val="007621EA"/>
    <w:rsid w:val="007B60BA"/>
    <w:rsid w:val="007C5750"/>
    <w:rsid w:val="00821B08"/>
    <w:rsid w:val="008772C5"/>
    <w:rsid w:val="0088262F"/>
    <w:rsid w:val="00887F15"/>
    <w:rsid w:val="00942865"/>
    <w:rsid w:val="009D488F"/>
    <w:rsid w:val="009E4817"/>
    <w:rsid w:val="009F4030"/>
    <w:rsid w:val="00A159A4"/>
    <w:rsid w:val="00A3381A"/>
    <w:rsid w:val="00A83F94"/>
    <w:rsid w:val="00A93822"/>
    <w:rsid w:val="00AB014A"/>
    <w:rsid w:val="00AD6C73"/>
    <w:rsid w:val="00AF552A"/>
    <w:rsid w:val="00B2778F"/>
    <w:rsid w:val="00B87428"/>
    <w:rsid w:val="00BC5FEE"/>
    <w:rsid w:val="00C46B41"/>
    <w:rsid w:val="00C80C26"/>
    <w:rsid w:val="00D10625"/>
    <w:rsid w:val="00D20333"/>
    <w:rsid w:val="00D4382A"/>
    <w:rsid w:val="00DA56C8"/>
    <w:rsid w:val="00DB5EE4"/>
    <w:rsid w:val="00E06F55"/>
    <w:rsid w:val="00E119A9"/>
    <w:rsid w:val="00E56ECA"/>
    <w:rsid w:val="00ED5FA9"/>
    <w:rsid w:val="00F068AB"/>
    <w:rsid w:val="00F52BC4"/>
    <w:rsid w:val="00F65375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1C134A-D35E-4A7C-92E8-37DA863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23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rsid w:val="00B87428"/>
    <w:rPr>
      <w:rFonts w:cs="Times New Roman"/>
      <w:color w:val="auto"/>
    </w:rPr>
  </w:style>
  <w:style w:type="paragraph" w:styleId="BalloonText">
    <w:name w:val="Balloon Text"/>
    <w:basedOn w:val="Normal"/>
    <w:semiHidden/>
    <w:rsid w:val="007C5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5E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EE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A938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822"/>
  </w:style>
  <w:style w:type="paragraph" w:styleId="CommentSubject">
    <w:name w:val="annotation subject"/>
    <w:basedOn w:val="CommentText"/>
    <w:next w:val="CommentText"/>
    <w:link w:val="CommentSubjectChar"/>
    <w:rsid w:val="00A93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822"/>
    <w:rPr>
      <w:b/>
      <w:bCs/>
    </w:rPr>
  </w:style>
  <w:style w:type="paragraph" w:styleId="ListBullet">
    <w:name w:val="List Bullet"/>
    <w:basedOn w:val="Normal"/>
    <w:rsid w:val="009D488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 Delinquent; Lost/Damaged Adopted: 7/85; Revised: 9/86, 1/88, 4/92, 9/92, 1/93, 10/94, 7/99, 12/99, 8/00; Draft 10/04</vt:lpstr>
    </vt:vector>
  </TitlesOfParts>
  <Company>Metropolitan Library System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Delinquent; Lost/Damaged Adopted: 7/85; Revised: 9/86, 1/88, 4/92, 9/92, 1/93, 10/94, 7/99, 12/99, 8/00; Draft 10/04</dc:title>
  <dc:creator>Staff</dc:creator>
  <cp:lastModifiedBy>Vicki Thompson</cp:lastModifiedBy>
  <cp:revision>3</cp:revision>
  <cp:lastPrinted>2008-05-16T20:07:00Z</cp:lastPrinted>
  <dcterms:created xsi:type="dcterms:W3CDTF">2016-09-23T16:25:00Z</dcterms:created>
  <dcterms:modified xsi:type="dcterms:W3CDTF">2016-09-23T16:28:00Z</dcterms:modified>
</cp:coreProperties>
</file>